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71407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01042437"/>
      <w:r w:rsidRPr="0035150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63B2B08" wp14:editId="2F9D69D6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801FF" w14:textId="3E199E2B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592168FB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1C53AC0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66BC239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F06E2E4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1885EAC6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4C874" w14:textId="0C5A4D01" w:rsidR="00B048B2" w:rsidRDefault="00137784" w:rsidP="00B048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8B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351500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1" w:name="_Hlk211331768"/>
      <w:r w:rsidR="00B048B2" w:rsidRPr="00B048B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595659">
        <w:rPr>
          <w:rFonts w:ascii="Times New Roman" w:hAnsi="Times New Roman" w:cs="Times New Roman"/>
          <w:b/>
          <w:bCs/>
          <w:sz w:val="24"/>
          <w:szCs w:val="24"/>
        </w:rPr>
        <w:t>helyi önazonosság védelméről</w:t>
      </w:r>
    </w:p>
    <w:p w14:paraId="6DC6FBFD" w14:textId="77777777" w:rsidR="00351500" w:rsidRPr="00B048B2" w:rsidRDefault="00351500" w:rsidP="00B048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BD02E5" w14:paraId="47343FF1" w14:textId="77777777" w:rsidTr="00F634C6">
        <w:tc>
          <w:tcPr>
            <w:tcW w:w="4531" w:type="dxa"/>
          </w:tcPr>
          <w:p w14:paraId="24FFBA52" w14:textId="77777777" w:rsidR="00B048B2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DDF4BA" w14:textId="5D411642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55914E8" w14:textId="77777777" w:rsidR="00351500" w:rsidRPr="00351500" w:rsidRDefault="00351500" w:rsidP="003515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75840136" w:rsidR="00137784" w:rsidRPr="00BD02E5" w:rsidRDefault="00351500" w:rsidP="003515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BD02E5" w14:paraId="3CAC4915" w14:textId="77777777" w:rsidTr="00F634C6">
        <w:tc>
          <w:tcPr>
            <w:tcW w:w="4531" w:type="dxa"/>
          </w:tcPr>
          <w:p w14:paraId="3A85E016" w14:textId="02B79C37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3CF2762C" w14:textId="76F6E427" w:rsidR="00137784" w:rsidRPr="00BD02E5" w:rsidRDefault="00595659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BD02E5" w14:paraId="29FC7079" w14:textId="77777777" w:rsidTr="00F634C6">
        <w:tc>
          <w:tcPr>
            <w:tcW w:w="4531" w:type="dxa"/>
          </w:tcPr>
          <w:p w14:paraId="387C6EF7" w14:textId="4B7995B8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előzetesen egyeztetve:</w:t>
            </w:r>
          </w:p>
        </w:tc>
        <w:tc>
          <w:tcPr>
            <w:tcW w:w="4531" w:type="dxa"/>
          </w:tcPr>
          <w:p w14:paraId="07A0A54B" w14:textId="77777777" w:rsidR="00137784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18B9C663" w14:textId="401C49D4" w:rsidR="00595659" w:rsidRPr="00BD02E5" w:rsidRDefault="00595659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137784" w:rsidRPr="00BD02E5" w14:paraId="70D5B5F2" w14:textId="77777777" w:rsidTr="00F634C6">
        <w:tc>
          <w:tcPr>
            <w:tcW w:w="4531" w:type="dxa"/>
          </w:tcPr>
          <w:p w14:paraId="5473A7C0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BD02E5" w14:paraId="37FAFDAE" w14:textId="77777777" w:rsidTr="00F634C6">
        <w:tc>
          <w:tcPr>
            <w:tcW w:w="4531" w:type="dxa"/>
          </w:tcPr>
          <w:p w14:paraId="51B20BB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538086E" w14:textId="77777777" w:rsidR="00351500" w:rsidRPr="00351500" w:rsidRDefault="00351500" w:rsidP="00351500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15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6781644" w14:textId="71A828AB" w:rsidR="007243EB" w:rsidRPr="00BD02E5" w:rsidRDefault="00351500" w:rsidP="00351500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15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BD02E5" w14:paraId="3D1890EA" w14:textId="77777777" w:rsidTr="00F634C6">
        <w:tc>
          <w:tcPr>
            <w:tcW w:w="4531" w:type="dxa"/>
          </w:tcPr>
          <w:p w14:paraId="32E2C0E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BD02E5" w14:paraId="17BDF780" w14:textId="77777777" w:rsidTr="00F634C6">
        <w:tc>
          <w:tcPr>
            <w:tcW w:w="4531" w:type="dxa"/>
          </w:tcPr>
          <w:p w14:paraId="727C38A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B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04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határozat </w:t>
            </w:r>
          </w:p>
        </w:tc>
      </w:tr>
      <w:tr w:rsidR="00137784" w:rsidRPr="00BD02E5" w14:paraId="7DCA87E3" w14:textId="77777777" w:rsidTr="00F634C6">
        <w:tc>
          <w:tcPr>
            <w:tcW w:w="4531" w:type="dxa"/>
          </w:tcPr>
          <w:p w14:paraId="6DCCB3D4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8CB">
              <w:rPr>
                <w:rFonts w:ascii="Times New Roman" w:hAnsi="Times New Roman" w:cs="Times New Roman"/>
                <w:bCs/>
                <w:sz w:val="24"/>
                <w:szCs w:val="24"/>
              </w:rPr>
              <w:t>egyszerű</w:t>
            </w:r>
            <w:r w:rsidRPr="0072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Pr="00B048B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minősített </w:t>
            </w:r>
          </w:p>
        </w:tc>
      </w:tr>
      <w:tr w:rsidR="00137784" w:rsidRPr="00BD02E5" w14:paraId="3824A6DC" w14:textId="77777777" w:rsidTr="00F634C6">
        <w:tc>
          <w:tcPr>
            <w:tcW w:w="4531" w:type="dxa"/>
          </w:tcPr>
          <w:p w14:paraId="5DCC0A3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BD02E5" w14:paraId="07D29AA2" w14:textId="77777777" w:rsidTr="00F634C6">
        <w:tc>
          <w:tcPr>
            <w:tcW w:w="4531" w:type="dxa"/>
          </w:tcPr>
          <w:p w14:paraId="7122171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A0EF3AE" w14:textId="1B7D71FD" w:rsidR="00351500" w:rsidRPr="00351500" w:rsidRDefault="00351500" w:rsidP="0035150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Rendelet tervezet</w:t>
            </w:r>
            <w:r w:rsidR="008B631D">
              <w:rPr>
                <w:rFonts w:ascii="Times New Roman" w:hAnsi="Times New Roman" w:cs="Times New Roman"/>
                <w:sz w:val="24"/>
                <w:szCs w:val="24"/>
              </w:rPr>
              <w:t xml:space="preserve"> mellékletekkel,</w:t>
            </w: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 xml:space="preserve"> indoklással</w:t>
            </w:r>
          </w:p>
          <w:p w14:paraId="64A778CF" w14:textId="757A25F4" w:rsidR="009D1B6F" w:rsidRPr="00351500" w:rsidRDefault="00B048B2" w:rsidP="0035150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Előzetes hatásvizsgálat</w:t>
            </w:r>
            <w:r w:rsidR="00351500" w:rsidRPr="00351500">
              <w:rPr>
                <w:rFonts w:ascii="Times New Roman" w:hAnsi="Times New Roman" w:cs="Times New Roman"/>
                <w:sz w:val="24"/>
                <w:szCs w:val="24"/>
              </w:rPr>
              <w:t>i lap</w:t>
            </w:r>
          </w:p>
        </w:tc>
      </w:tr>
    </w:tbl>
    <w:p w14:paraId="3582EEE0" w14:textId="77777777" w:rsidR="00137784" w:rsidRPr="00BD02E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644F1919" w:rsidR="00137784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BD02E5">
        <w:rPr>
          <w:rFonts w:ascii="Times New Roman" w:hAnsi="Times New Roman" w:cs="Times New Roman"/>
          <w:sz w:val="24"/>
          <w:szCs w:val="24"/>
        </w:rPr>
        <w:t>Jánoshalma, 202</w:t>
      </w:r>
      <w:r w:rsidR="007243EB">
        <w:rPr>
          <w:rFonts w:ascii="Times New Roman" w:hAnsi="Times New Roman" w:cs="Times New Roman"/>
          <w:sz w:val="24"/>
          <w:szCs w:val="24"/>
        </w:rPr>
        <w:t>5</w:t>
      </w:r>
      <w:r w:rsidR="00B048B2">
        <w:rPr>
          <w:rFonts w:ascii="Times New Roman" w:hAnsi="Times New Roman" w:cs="Times New Roman"/>
          <w:sz w:val="24"/>
          <w:szCs w:val="24"/>
        </w:rPr>
        <w:t>. október 1</w:t>
      </w:r>
      <w:r w:rsidR="00351500">
        <w:rPr>
          <w:rFonts w:ascii="Times New Roman" w:hAnsi="Times New Roman" w:cs="Times New Roman"/>
          <w:sz w:val="24"/>
          <w:szCs w:val="24"/>
        </w:rPr>
        <w:t>7</w:t>
      </w:r>
      <w:r w:rsidR="00B048B2">
        <w:rPr>
          <w:rFonts w:ascii="Times New Roman" w:hAnsi="Times New Roman" w:cs="Times New Roman"/>
          <w:sz w:val="24"/>
          <w:szCs w:val="24"/>
        </w:rPr>
        <w:t>.</w:t>
      </w:r>
    </w:p>
    <w:p w14:paraId="232D15C6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D88917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7EB497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9DDC2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F18B0C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8ECD55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1B35E4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00EC7B" w14:textId="77777777" w:rsidR="007412A6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D7C166" w14:textId="77777777" w:rsidR="007412A6" w:rsidRPr="007412A6" w:rsidRDefault="007412A6" w:rsidP="007412A6">
      <w:pPr>
        <w:spacing w:after="0"/>
        <w:ind w:left="-5" w:hanging="10"/>
        <w:rPr>
          <w:rFonts w:ascii="Times New Roman" w:eastAsia="Times New Roman" w:hAnsi="Times New Roman" w:cs="Times New Roman"/>
          <w:b/>
          <w:i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iCs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t xml:space="preserve">Tisztelt Képviselő-testület! </w:t>
      </w:r>
    </w:p>
    <w:p w14:paraId="442362BD" w14:textId="77777777" w:rsidR="007412A6" w:rsidRPr="007412A6" w:rsidRDefault="007412A6" w:rsidP="007412A6">
      <w:pPr>
        <w:spacing w:after="9"/>
        <w:ind w:left="50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1C8FC0BB" w14:textId="77777777" w:rsidR="007412A6" w:rsidRPr="007412A6" w:rsidRDefault="007412A6" w:rsidP="007412A6">
      <w:pPr>
        <w:tabs>
          <w:tab w:val="center" w:pos="1819"/>
        </w:tabs>
        <w:spacing w:after="10" w:line="249" w:lineRule="auto"/>
        <w:ind w:left="-1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I.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ab/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Az előterjesztés előzményei </w:t>
      </w:r>
    </w:p>
    <w:p w14:paraId="51E19821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56960DCB" w14:textId="77777777" w:rsidR="007412A6" w:rsidRPr="007412A6" w:rsidRDefault="007412A6" w:rsidP="007412A6">
      <w:pPr>
        <w:spacing w:after="0" w:line="238" w:lineRule="auto"/>
        <w:ind w:right="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A helyi önazonosság védelméről szóló 2025. évi XLVIII. törvény preambuluma szerint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„</w:t>
      </w:r>
      <w:r w:rsidRPr="007412A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>Megvédjük településeink önazonosságát. Új korszak kezdődik a helyi közösségek jogainak védelmében. Az Alaptörvény tizenötödik módosításával a helyi közösségek önazonossághoz való joga immár alkotmányos védelem alá került. Ez lehetőséget ad az önkormányzatoknak, hogy – saját döntésük alapján – szabályozzák a településük fejlődését, megőrizve a hagyományaikat, társadalmi rendjüket és értékeiket. A cél nem az elzárkózás, hanem a szerves fejlődés lehetőségének biztosítása. A túlzott mértékű lakosságbővülés vagy a tömeges ingatlanvásárlás több településen a fiatalok kiszorulását és a település jellegének sérülését vagy elvesztését eredményezte. Az új jogi eszközökkel a közösségek hatékonyabban védhetik meg életformájukat a kívántnál nagyobb mértékű betelepülés és ingatlanvásárlások negatív hatásaival szemben. E törvény hatálybalépésével a közösségeknek jogi eszközeik lesznek arra, hogy megvédjék az önazonosságukat, és ők dönthessenek arról, hogy milyen irányban fejlődjön a településük. Az új szabályozás célja, hogy összhangot teremtsen az egyéni jogok és a közösségi érdekek között, miközben megőrzi a magyar falvak, városok és közösségek értékeit a következő generációk számára is. A helyi közösségek jövője a saját kezükbe kerül.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” </w:t>
      </w:r>
    </w:p>
    <w:p w14:paraId="559BFC7C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5C3215C9" w14:textId="77777777" w:rsidR="007412A6" w:rsidRDefault="007412A6" w:rsidP="007412A6">
      <w:pPr>
        <w:spacing w:after="0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fentiekre tekintettel az Országgyűlés az Alaptörvény XXVII. cikk (1) bekezdésében meghatározott, a helyi közösség önazonossághoz való jogának biztosítása érdekében, az Alaptörvény 31. cikk (3) bekezdése alapján megalkotta a helyi önazonosság védelméről</w:t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2025. évi XLVIII. törvényt, amely alapján a települési önkormányzat önvédelmet gyakorolhat, amely a közösség társadalmi berendezésének, életmódjának, hagyományainak és szokásainak, valamint a település karakterének megőrzését és védelmét szolgálja az ellenőrizhetetlen lakosságbővülés és ingatlanvásárlások negatív hatásaival szemben. </w:t>
      </w:r>
    </w:p>
    <w:p w14:paraId="6539AEC0" w14:textId="77777777" w:rsidR="007412A6" w:rsidRPr="007412A6" w:rsidRDefault="007412A6" w:rsidP="000B2E21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70F1F8BA" w14:textId="77777777" w:rsidR="007412A6" w:rsidRPr="007412A6" w:rsidRDefault="007412A6" w:rsidP="007412A6">
      <w:pPr>
        <w:spacing w:after="10" w:line="249" w:lineRule="auto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II.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Az előterjesztés jogszabályi háttere </w:t>
      </w:r>
    </w:p>
    <w:p w14:paraId="240B2E85" w14:textId="380E511E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5C0469EC" w14:textId="77777777" w:rsidR="007412A6" w:rsidRPr="007412A6" w:rsidRDefault="007412A6" w:rsidP="000B2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-</w:t>
      </w:r>
      <w:r w:rsidRPr="007412A6">
        <w:rPr>
          <w:rFonts w:ascii="Arial" w:eastAsia="Arial" w:hAnsi="Arial" w:cs="Arial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helyi önazonosság védelméről 2025. évi XLVIII. törvény (továbbiakban Hövtv.) rendelkezései </w:t>
      </w:r>
    </w:p>
    <w:p w14:paraId="001373CE" w14:textId="608304AD" w:rsidR="007412A6" w:rsidRPr="007412A6" w:rsidRDefault="007412A6" w:rsidP="000B2E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54E5BA3" w14:textId="40A59246" w:rsidR="007412A6" w:rsidRPr="007412A6" w:rsidRDefault="007412A6" w:rsidP="000B2E21">
      <w:pPr>
        <w:pStyle w:val="Listaszerbekezds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helyi önazonosság védelméről szóló törvény jogvédelmi eszközeinek alkalmazására vonatkozó szabályokról szóló 240/2025. (VII. 31.) Kormány rendelet. </w:t>
      </w:r>
    </w:p>
    <w:p w14:paraId="76BFFCB8" w14:textId="762DA044" w:rsidR="007412A6" w:rsidRPr="007412A6" w:rsidRDefault="007412A6" w:rsidP="000B2E2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3E4F24AB" w14:textId="320E5121" w:rsidR="007412A6" w:rsidRPr="007412A6" w:rsidRDefault="007412A6" w:rsidP="007412A6">
      <w:pPr>
        <w:tabs>
          <w:tab w:val="center" w:pos="3105"/>
        </w:tabs>
        <w:spacing w:after="10" w:line="249" w:lineRule="auto"/>
        <w:ind w:left="-1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III.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ab/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Az előterjesztéshez kapcsolódó tények, adatok</w:t>
      </w:r>
    </w:p>
    <w:p w14:paraId="7D3E777A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58C689F9" w14:textId="3C4CEA6D" w:rsidR="007412A6" w:rsidRPr="007412A6" w:rsidRDefault="007412A6" w:rsidP="000B2E21">
      <w:pPr>
        <w:spacing w:after="0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Hövtv. 2025. július 1-jén lépett hatályba. A törvény értelmében a helyi önkormányzatok a települések hagyományainak és közösségi értékeinek védelme érdekében korlátozhatják a betelepüléseket és az ingatlanvásárlásokat. Az önkormányzatok rendeletben szabályozhatják a lakcím létesítését, bevezethetnek betelepülési hozzájárulást, előírhatnak személyes feltételeket, és gyakorolhatják az elővásárlási jogot. Az önkormányzat jogvédelmi eszközök alkalmazásával kapcsolatos jogköreit a képviselő-testület gyakorolja – amely jogkör kizárólag a bizottságra ruházható át –, de az egyszerűsített eljárás lefolytatására a jegyző is felruházható hatáskörrel. </w:t>
      </w:r>
    </w:p>
    <w:p w14:paraId="53A7F451" w14:textId="5FA27349" w:rsidR="007412A6" w:rsidRPr="007412A6" w:rsidRDefault="007412A6" w:rsidP="007412A6">
      <w:pPr>
        <w:spacing w:after="0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Az önkormányzat </w:t>
      </w:r>
      <w:r w:rsidR="000B2E2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Hövtv. keretei között szabadon dönthet a jogvédelmi eszköz igénybevételéről, a mentességek bevezetéséről. Az önkormányzat rendeletében a Hövtv-ben meghatározott jogvédelmi eszközök közül akár egyszerre többet is alkalmazhat. A Hövtv. alábbi lehetőségeket biztosítja a betelepülések szabályozására: </w:t>
      </w:r>
    </w:p>
    <w:p w14:paraId="627C4238" w14:textId="6DCA2A9E" w:rsidR="007412A6" w:rsidRPr="007412A6" w:rsidRDefault="007412A6" w:rsidP="000B2E21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t xml:space="preserve"> </w:t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Dologi jogvédelmi eszköz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: az önkormányzat élhet elővásárlási joggal. A Hövtv. más jogszabály alapján elővásárlásra jogosult személyek elővásárlási jogát korlátozza, ezáltal elsődlegesen a helyi közösség tagjai élveznek prioritást az ingatlan-adásvételek tekintetében. A Hövtv. alapján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az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alábbi sorrend él elővásárlási jog esetén: </w:t>
      </w:r>
    </w:p>
    <w:p w14:paraId="540545AB" w14:textId="77777777" w:rsidR="007412A6" w:rsidRPr="007412A6" w:rsidRDefault="007412A6" w:rsidP="007412A6">
      <w:pPr>
        <w:spacing w:after="0" w:line="249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1.</w:t>
      </w:r>
      <w:r w:rsidRPr="007412A6">
        <w:rPr>
          <w:rFonts w:ascii="Arial" w:eastAsia="Arial" w:hAnsi="Arial" w:cs="Arial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önkormányzat, önkormányzatnak elővásárlásra kijelölt, többségi tulajdonban álló gazdasági társasága </w:t>
      </w:r>
    </w:p>
    <w:p w14:paraId="694E9D77" w14:textId="77777777" w:rsidR="007412A6" w:rsidRPr="007412A6" w:rsidRDefault="007412A6" w:rsidP="007412A6">
      <w:pPr>
        <w:keepNext/>
        <w:keepLines/>
        <w:spacing w:after="0"/>
        <w:ind w:left="370" w:hanging="10"/>
        <w:outlineLvl w:val="1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2.</w:t>
      </w:r>
      <w:r w:rsidRPr="007412A6">
        <w:rPr>
          <w:rFonts w:ascii="Arial" w:eastAsia="Arial" w:hAnsi="Arial" w:cs="Arial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telekhatáros ingatlan tulajdonosa </w:t>
      </w:r>
    </w:p>
    <w:p w14:paraId="07FBD119" w14:textId="77777777" w:rsidR="007412A6" w:rsidRPr="007412A6" w:rsidRDefault="007412A6" w:rsidP="007412A6">
      <w:pPr>
        <w:spacing w:after="0" w:line="249" w:lineRule="auto"/>
        <w:ind w:left="370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3.</w:t>
      </w:r>
      <w:r w:rsidRPr="007412A6">
        <w:rPr>
          <w:rFonts w:ascii="Arial" w:eastAsia="Arial" w:hAnsi="Arial" w:cs="Arial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ingatlan fekvése szerinti településen ingatlantulajdonnal rendelkező személy  </w:t>
      </w:r>
    </w:p>
    <w:p w14:paraId="62917104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0A9847E" w14:textId="77777777" w:rsidR="007412A6" w:rsidRPr="007412A6" w:rsidRDefault="007412A6" w:rsidP="007412A6">
      <w:pPr>
        <w:spacing w:after="10" w:line="249" w:lineRule="auto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Személyi jogvédelmi eszköz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:  </w:t>
      </w:r>
    </w:p>
    <w:p w14:paraId="024C87AE" w14:textId="4E7F8A33" w:rsidR="007412A6" w:rsidRPr="007412A6" w:rsidRDefault="007412A6" w:rsidP="007412A6">
      <w:pPr>
        <w:numPr>
          <w:ilvl w:val="0"/>
          <w:numId w:val="3"/>
        </w:numPr>
        <w:spacing w:after="0" w:line="249" w:lineRule="auto"/>
        <w:ind w:hanging="3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hyperlink r:id="rId6">
        <w:r w:rsidRPr="007412A6">
          <w:rPr>
            <w:rFonts w:ascii="Times New Roman" w:eastAsia="Times New Roman" w:hAnsi="Times New Roman" w:cs="Times New Roman"/>
            <w:b/>
            <w:color w:val="000000"/>
            <w:kern w:val="2"/>
            <w:sz w:val="24"/>
            <w:szCs w:val="24"/>
            <w:lang w:eastAsia="hu-HU"/>
            <w14:ligatures w14:val="standardContextual"/>
          </w:rPr>
          <w:t>l</w:t>
        </w:r>
      </w:hyperlink>
      <w:hyperlink r:id="rId7">
        <w:r w:rsidRPr="007412A6">
          <w:rPr>
            <w:rFonts w:ascii="Times New Roman" w:eastAsia="Times New Roman" w:hAnsi="Times New Roman" w:cs="Times New Roman"/>
            <w:b/>
            <w:color w:val="000000"/>
            <w:kern w:val="2"/>
            <w:sz w:val="24"/>
            <w:szCs w:val="24"/>
            <w:lang w:eastAsia="hu-HU"/>
            <w14:ligatures w14:val="standardContextual"/>
          </w:rPr>
          <w:t>akcím létesítésének korlátozása</w:t>
        </w:r>
      </w:hyperlink>
      <w:hyperlink r:id="rId8">
        <w:r w:rsidRPr="007412A6">
          <w:rPr>
            <w:rFonts w:ascii="Times New Roman" w:eastAsia="Times New Roman" w:hAnsi="Times New Roman" w:cs="Times New Roman"/>
            <w:color w:val="000000"/>
            <w:kern w:val="2"/>
            <w:sz w:val="24"/>
            <w:szCs w:val="24"/>
            <w:lang w:eastAsia="hu-HU"/>
            <w14:ligatures w14:val="standardContextual"/>
          </w:rPr>
          <w:t>,</w:t>
        </w:r>
      </w:hyperlink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melynek során az önkormányzat rendeletben tilthatja a lakcím létesítését, illetve előírhat feltételeket a lakcím létesítéséhez.</w:t>
      </w:r>
      <w:r w:rsidRPr="007412A6">
        <w:rPr>
          <w:rFonts w:ascii="Calibri" w:eastAsia="Calibri" w:hAnsi="Calibri" w:cs="Calibri"/>
          <w:color w:val="353535"/>
          <w:kern w:val="2"/>
          <w:sz w:val="27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Ha a lakcímbejelentéssel érintett település képviselő-testületének önkormányzati rendelete rendelkezik arról, hogy a betelepülők számára lakcím meghatározott feltétellel létesíthető, akkor a kérelmezőnek a fővárosi és vármegyei kormányhivatal személyiadat- és lakcímnyilvántartási feladatkörében eljáró járási (fővárosi kerületi) hivatala a polgárok személyi adatainak és lakcímének nyilvántartásáról szóló 1992. évi LXVI. törvény 26. §-a szerinti lakcímbejelentési eljárás során kérelemhez a Hövtv. 10. § (4) bekezdése szerinti önkormányzati hozzájárulást csatolnia kell. </w:t>
      </w:r>
    </w:p>
    <w:p w14:paraId="0CE91110" w14:textId="5F14FB5B" w:rsidR="007412A6" w:rsidRPr="007412A6" w:rsidRDefault="007412A6" w:rsidP="007412A6">
      <w:pPr>
        <w:numPr>
          <w:ilvl w:val="0"/>
          <w:numId w:val="3"/>
        </w:numPr>
        <w:spacing w:after="0" w:line="249" w:lineRule="auto"/>
        <w:ind w:hanging="3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betelepülési hozzájárulás fizetéséhez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köthető a betelepülés, melynek szabályait szintén rendeletben kell megállapítani.</w:t>
      </w:r>
      <w:r w:rsidRPr="007412A6">
        <w:rPr>
          <w:rFonts w:ascii="Arial" w:eastAsia="Arial" w:hAnsi="Arial" w:cs="Arial"/>
          <w:color w:val="374151"/>
          <w:kern w:val="2"/>
          <w:sz w:val="30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betelepülési hozzájárulás típusát és mértékét az önkormányzati rendelet keretein belül az önkormányzat határozza meg.</w:t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644038E0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ED2CDB5" w14:textId="7FD1D320" w:rsidR="007412A6" w:rsidRPr="007412A6" w:rsidRDefault="007412A6" w:rsidP="007412A6">
      <w:pPr>
        <w:spacing w:after="10" w:line="249" w:lineRule="auto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IV.</w:t>
      </w:r>
      <w:r w:rsidRPr="007412A6">
        <w:rPr>
          <w:rFonts w:ascii="Arial" w:eastAsia="Arial" w:hAnsi="Arial" w:cs="Arial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7412A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  A döntés szükségességének indokai </w:t>
      </w:r>
    </w:p>
    <w:p w14:paraId="482A548C" w14:textId="77777777" w:rsidR="007412A6" w:rsidRPr="007412A6" w:rsidRDefault="007412A6" w:rsidP="007412A6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1AFA56C1" w14:textId="5E9823C4" w:rsidR="007412A6" w:rsidRPr="007412A6" w:rsidRDefault="007412A6" w:rsidP="007412A6">
      <w:pPr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helyi önkormányzatok a törvény felhatalmazása alapján, saját rendeletükben határozhatják meg, hogy élnek-e a jogvédelmi eszközökkel abban az esetben, ha úgy ítélik meg, hogy a</w:t>
      </w:r>
      <w:r w:rsidR="00BE68CB" w:rsidRPr="00BE68C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betelepülők szám</w:t>
      </w:r>
      <w:r w:rsidR="00BE68C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ának nem kívánt mértékű növekedése,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illetve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a település </w:t>
      </w:r>
      <w:r w:rsidRPr="007412A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társadalmi rendjének</w:t>
      </w:r>
      <w:r w:rsidR="00BE68C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fenntartása</w:t>
      </w:r>
      <w:r w:rsidRPr="007412A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és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 </w:t>
      </w:r>
      <w:r w:rsidRPr="007412A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közösségi érdeke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k védelme 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azt indokolj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</w:t>
      </w:r>
      <w:r w:rsidRPr="007412A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. </w:t>
      </w:r>
    </w:p>
    <w:p w14:paraId="31FDD661" w14:textId="77777777" w:rsidR="007412A6" w:rsidRPr="00BD02E5" w:rsidRDefault="007412A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2AE15FB9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86AFC"/>
    <w:multiLevelType w:val="hybridMultilevel"/>
    <w:tmpl w:val="121291B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C09"/>
    <w:multiLevelType w:val="hybridMultilevel"/>
    <w:tmpl w:val="16565CA0"/>
    <w:lvl w:ilvl="0" w:tplc="F32A343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227A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093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EA70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38B67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F2E3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8DB8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8B2F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EABDC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3F7FE1"/>
    <w:multiLevelType w:val="hybridMultilevel"/>
    <w:tmpl w:val="2506AD3C"/>
    <w:lvl w:ilvl="0" w:tplc="FBDCC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1"/>
  </w:num>
  <w:num w:numId="2" w16cid:durableId="597760848">
    <w:abstractNumId w:val="0"/>
  </w:num>
  <w:num w:numId="3" w16cid:durableId="1700616882">
    <w:abstractNumId w:val="2"/>
  </w:num>
  <w:num w:numId="4" w16cid:durableId="897520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B2E21"/>
    <w:rsid w:val="00137784"/>
    <w:rsid w:val="00145E48"/>
    <w:rsid w:val="0019723F"/>
    <w:rsid w:val="002350D2"/>
    <w:rsid w:val="002524D7"/>
    <w:rsid w:val="00351500"/>
    <w:rsid w:val="00362B7B"/>
    <w:rsid w:val="00595659"/>
    <w:rsid w:val="005D3996"/>
    <w:rsid w:val="00720874"/>
    <w:rsid w:val="007243EB"/>
    <w:rsid w:val="007412A6"/>
    <w:rsid w:val="008009C4"/>
    <w:rsid w:val="00893F6E"/>
    <w:rsid w:val="008B631D"/>
    <w:rsid w:val="009D1B6F"/>
    <w:rsid w:val="00B048B2"/>
    <w:rsid w:val="00BE68CB"/>
    <w:rsid w:val="00D703AC"/>
    <w:rsid w:val="00EB3201"/>
    <w:rsid w:val="00F9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412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412A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11fc98e86e716b16&amp;rlz=1C1GCEU_huHU987HU987&amp;sxsrf=AE3TifMw4h2NKVXw2iruW-NiraGrp7UW-Q%3A1759306563379&amp;q=Lakc%C3%ADm+l%C3%A9tes%C3%ADt%C3%A9s%C3%A9nek+korl%C3%A1toz%C3%A1sa&amp;sa=X&amp;ved=2ahUKEwjLoovWx4KQAxWA0gIHHYIrHE4QxccNegQIURAB&amp;mstk=AUtExfDR8Gb0swJcF09PWikxiBsgPzp3hZGLpEVfrom5WnqxzmOngO-klorq8hfX1jQZqO9nRlM2FLYUlufGpBBM-ENzBtsL7uLFcBCyYDfjT274J9PGwA457wDvUSc2dPv5tz9rM_RU6eN21T6a57ietL301lb1S4rR6apmMPVcw81T6J4&amp;csui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sca_esv=11fc98e86e716b16&amp;rlz=1C1GCEU_huHU987HU987&amp;sxsrf=AE3TifMw4h2NKVXw2iruW-NiraGrp7UW-Q%3A1759306563379&amp;q=Lakc%C3%ADm+l%C3%A9tes%C3%ADt%C3%A9s%C3%A9nek+korl%C3%A1toz%C3%A1sa&amp;sa=X&amp;ved=2ahUKEwjLoovWx4KQAxWA0gIHHYIrHE4QxccNegQIURAB&amp;mstk=AUtExfDR8Gb0swJcF09PWikxiBsgPzp3hZGLpEVfrom5WnqxzmOngO-klorq8hfX1jQZqO9nRlM2FLYUlufGpBBM-ENzBtsL7uLFcBCyYDfjT274J9PGwA457wDvUSc2dPv5tz9rM_RU6eN21T6a57ietL301lb1S4rR6apmMPVcw81T6J4&amp;csui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sca_esv=11fc98e86e716b16&amp;rlz=1C1GCEU_huHU987HU987&amp;sxsrf=AE3TifMw4h2NKVXw2iruW-NiraGrp7UW-Q%3A1759306563379&amp;q=Lakc%C3%ADm+l%C3%A9tes%C3%ADt%C3%A9s%C3%A9nek+korl%C3%A1toz%C3%A1sa&amp;sa=X&amp;ved=2ahUKEwjLoovWx4KQAxWA0gIHHYIrHE4QxccNegQIURAB&amp;mstk=AUtExfDR8Gb0swJcF09PWikxiBsgPzp3hZGLpEVfrom5WnqxzmOngO-klorq8hfX1jQZqO9nRlM2FLYUlufGpBBM-ENzBtsL7uLFcBCyYDfjT274J9PGwA457wDvUSc2dPv5tz9rM_RU6eN21T6a57ietL301lb1S4rR6apmMPVcw81T6J4&amp;csui=3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957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2025-10-17T06:50:00Z</dcterms:created>
  <dcterms:modified xsi:type="dcterms:W3CDTF">2025-10-17T09:08:00Z</dcterms:modified>
</cp:coreProperties>
</file>